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106FB" w14:textId="77777777" w:rsidR="00E460BC" w:rsidRDefault="00E460BC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62619D9" w14:textId="77777777" w:rsidR="00E460BC" w:rsidRDefault="00E460BC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0536532" w14:textId="2245ADB7" w:rsidR="00E23546" w:rsidRPr="00E55CA7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55C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0E231E1D" w14:textId="77777777" w:rsidR="00E460BC" w:rsidRDefault="00E460BC" w:rsidP="00E460BC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7446F35B" w14:textId="77777777" w:rsidR="00E460BC" w:rsidRPr="00860A5B" w:rsidRDefault="00E460BC" w:rsidP="00E460BC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1A6B998D" w14:textId="128834F2" w:rsidR="00E23546" w:rsidRPr="00710D27" w:rsidRDefault="00E460BC" w:rsidP="00E460BC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 w:rsidR="00E23546" w:rsidRPr="00710D27">
        <w:rPr>
          <w:rFonts w:ascii="Times New Roman" w:eastAsia="Times New Roman" w:hAnsi="Times New Roman" w:cs="Times New Roman"/>
          <w:i/>
          <w:lang w:eastAsia="pl-PL"/>
        </w:rPr>
        <w:t xml:space="preserve">)  </w:t>
      </w:r>
    </w:p>
    <w:p w14:paraId="2CEE7038" w14:textId="77777777" w:rsidR="00E23546" w:rsidRPr="00F26BF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color w:val="002060"/>
          <w:sz w:val="18"/>
          <w:szCs w:val="18"/>
          <w:lang w:eastAsia="pl-PL"/>
        </w:rPr>
      </w:pPr>
    </w:p>
    <w:p w14:paraId="5253DE72" w14:textId="5A412604" w:rsidR="00E23546" w:rsidRPr="00E55CA7" w:rsidRDefault="007A665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E55CA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Rachunek kosztów i </w:t>
      </w:r>
      <w:r w:rsidR="00B3545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</w:t>
      </w:r>
      <w:r w:rsidRPr="00E55CA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achunkowość zarządcza</w:t>
      </w:r>
    </w:p>
    <w:p w14:paraId="7689ADE7" w14:textId="77777777" w:rsidR="00E2354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8327FE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437B91C4" w14:textId="77777777" w:rsidR="00E55CA7" w:rsidRPr="008327FE" w:rsidRDefault="00E55CA7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9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23546" w:rsidRPr="008327FE" w14:paraId="263D2AAE" w14:textId="77777777" w:rsidTr="005929A5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1AE165BD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5408D003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zdanego przedmiotu </w:t>
            </w:r>
          </w:p>
          <w:p w14:paraId="7120E073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wiedzy </w:t>
            </w:r>
          </w:p>
          <w:p w14:paraId="154F820F" w14:textId="77777777" w:rsidR="00E23546" w:rsidRPr="008327FE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8327FE" w14:paraId="0B576642" w14:textId="77777777" w:rsidTr="005929A5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139B15A7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3F9A633C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0DDDE2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AA01A1D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6B16C138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2FF76C1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 w:rsidRPr="008327FE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2"/>
            </w:r>
          </w:p>
          <w:p w14:paraId="7D7BBC3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0EF0EF6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C1D702D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06550CE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2 przedmiotu </w:t>
            </w:r>
          </w:p>
          <w:p w14:paraId="69D9BC3C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1173BFC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53652BDB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B504D51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2B317B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3 przedmiotu </w:t>
            </w:r>
          </w:p>
          <w:p w14:paraId="2BA066C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4393776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8327FE" w14:paraId="098F483A" w14:textId="77777777" w:rsidTr="005929A5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32FAB749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57564608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23C98AEF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05E3A721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7A6656" w:rsidRPr="008327FE" w14:paraId="4212178A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6B544615" w14:textId="77777777" w:rsidR="007A6656" w:rsidRDefault="007A6656" w:rsidP="007A6656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 Rachunek kosztów</w:t>
            </w:r>
          </w:p>
          <w:p w14:paraId="1B118778" w14:textId="77777777" w:rsidR="007A6656" w:rsidRDefault="007A6656" w:rsidP="007A6656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8.1.1. Koszty i pojęcia bliskoznaczne</w:t>
            </w:r>
          </w:p>
          <w:p w14:paraId="0A86D98B" w14:textId="77777777" w:rsidR="007A6656" w:rsidRDefault="007A6656" w:rsidP="007A6656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8.1.2. Miejsce rachunku kosztów w systemie informacyjnym przedsiębiorstwa, cele i zadania rachunku kosztów, ewolucja rachunku kosztów.</w:t>
            </w:r>
          </w:p>
          <w:p w14:paraId="72545FE4" w14:textId="77777777" w:rsidR="007A6656" w:rsidRDefault="007A6656" w:rsidP="007A6656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8.1.3. Kwalifikacja kosztów dla potrzeb rachunkowości finansowej</w:t>
            </w:r>
          </w:p>
          <w:p w14:paraId="29EFA916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8.1.4. Koszty a struktura organizacyjna przedsiębiorstwa.</w:t>
            </w:r>
          </w:p>
          <w:p w14:paraId="6A368330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8.1.5. Przekroje ewidencyjne kosztów a układ rachunku zysków i strat, dostosowanie ewidencji kosztów do potrzeb jednostki, uproszczenia w ewidencji kosztów.</w:t>
            </w:r>
          </w:p>
          <w:p w14:paraId="4853AC3E" w14:textId="77777777" w:rsidR="007A6656" w:rsidRPr="00D57E17" w:rsidRDefault="007A6656" w:rsidP="007A6656">
            <w:pPr>
              <w:ind w:left="357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039E44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8.1.6. Istota, przedmiot, rodzaje i metody kalkulacji kosztów.</w:t>
            </w:r>
          </w:p>
          <w:p w14:paraId="1EDB6515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8.1.7. Koszty działalności pomocniczej i ich rozliczanie </w:t>
            </w:r>
          </w:p>
          <w:p w14:paraId="61C189F4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8.1.8. Koszt </w:t>
            </w:r>
            <w:proofErr w:type="gram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wytworzenia,</w:t>
            </w:r>
            <w:proofErr w:type="gram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jako podstawa wyceny produktów. Kalkulacja kosztu wytworzenia produktów.</w:t>
            </w:r>
          </w:p>
          <w:p w14:paraId="58D63FBD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8.1.9. Niewykorzystane zdolności produkcyjne i ich wpływ na wycenę produktów.</w:t>
            </w:r>
          </w:p>
          <w:p w14:paraId="2E58174B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8.1.10. Rachunek kosztów standardowych (normatywnych, postulowanych).</w:t>
            </w:r>
          </w:p>
          <w:p w14:paraId="58D28521" w14:textId="368EE4D1" w:rsidR="007A6656" w:rsidRPr="008327FE" w:rsidRDefault="007A6656" w:rsidP="007A6656"/>
        </w:tc>
        <w:tc>
          <w:tcPr>
            <w:tcW w:w="3594" w:type="dxa"/>
          </w:tcPr>
          <w:p w14:paraId="1F4A1556" w14:textId="77777777" w:rsidR="007A6656" w:rsidRPr="008327FE" w:rsidRDefault="007A6656" w:rsidP="007A6656"/>
        </w:tc>
        <w:tc>
          <w:tcPr>
            <w:tcW w:w="3828" w:type="dxa"/>
          </w:tcPr>
          <w:p w14:paraId="78214F9E" w14:textId="77777777" w:rsidR="007A6656" w:rsidRPr="008327FE" w:rsidRDefault="007A6656" w:rsidP="007A6656"/>
        </w:tc>
        <w:tc>
          <w:tcPr>
            <w:tcW w:w="3685" w:type="dxa"/>
          </w:tcPr>
          <w:p w14:paraId="30F85643" w14:textId="77777777" w:rsidR="007A6656" w:rsidRPr="008327FE" w:rsidRDefault="007A6656" w:rsidP="007A6656"/>
        </w:tc>
      </w:tr>
      <w:tr w:rsidR="007A6656" w:rsidRPr="008327FE" w14:paraId="6CE464F6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048265BA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8.1.11. Klasyfikacja kosztów dla celów zarządzania.</w:t>
            </w:r>
          </w:p>
          <w:p w14:paraId="19853D01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8.1.12. Rachunek kosztów zmiennych.</w:t>
            </w:r>
          </w:p>
          <w:p w14:paraId="27821E31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8.1.13. </w:t>
            </w:r>
            <w:proofErr w:type="gram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Koszty,</w:t>
            </w:r>
            <w:proofErr w:type="gram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jako efekt celowego wykorzystania zasobów, obiekty kosztów. Controlling kosztów.</w:t>
            </w:r>
          </w:p>
          <w:p w14:paraId="45CCF493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8.1.14. Rachunek kosztów działań oraz jego wykorzystanie w zarządzaniu przedsiębiorstwem.</w:t>
            </w:r>
          </w:p>
          <w:p w14:paraId="62CF7CC6" w14:textId="77777777" w:rsidR="007A6656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8.1.15. Zarządzanie kosztami nowych produktów i technologii. Rachunek kosztów cyklu zużycia produktu, rachunek kosztów docelowych (target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costing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). Kazein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costing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CF29BCF" w14:textId="77777777" w:rsidR="007A6656" w:rsidRDefault="007A6656" w:rsidP="007A6656">
            <w:pPr>
              <w:ind w:left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1CC447" w14:textId="77777777" w:rsidR="007A6656" w:rsidRPr="008327FE" w:rsidRDefault="007A6656" w:rsidP="007A665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94" w:type="dxa"/>
          </w:tcPr>
          <w:p w14:paraId="15A2AC2A" w14:textId="77777777" w:rsidR="007A6656" w:rsidRPr="008327FE" w:rsidRDefault="007A6656" w:rsidP="007A6656"/>
        </w:tc>
        <w:tc>
          <w:tcPr>
            <w:tcW w:w="3828" w:type="dxa"/>
          </w:tcPr>
          <w:p w14:paraId="1CB38EF7" w14:textId="77777777" w:rsidR="007A6656" w:rsidRPr="008327FE" w:rsidRDefault="007A6656" w:rsidP="007A6656"/>
        </w:tc>
        <w:tc>
          <w:tcPr>
            <w:tcW w:w="3685" w:type="dxa"/>
          </w:tcPr>
          <w:p w14:paraId="2F806D0D" w14:textId="77777777" w:rsidR="007A6656" w:rsidRPr="008327FE" w:rsidRDefault="007A6656" w:rsidP="007A6656"/>
        </w:tc>
      </w:tr>
      <w:tr w:rsidR="007A6656" w:rsidRPr="008327FE" w14:paraId="070158F2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59BDED5E" w14:textId="77777777" w:rsidR="007A6656" w:rsidRDefault="007A6656" w:rsidP="007A6656">
            <w:pPr>
              <w:ind w:left="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48047D" w14:textId="77777777" w:rsidR="007A6656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8.2 Rachunkowość zarządcza</w:t>
            </w:r>
          </w:p>
          <w:p w14:paraId="73E12B57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8.2.1. Rola rachunkowości zarządczej w podejmowaniu decyzji. </w:t>
            </w:r>
          </w:p>
          <w:p w14:paraId="20489315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8.2.2. Pomiar kosztów i korzyści w rachunkowości zarządczej.</w:t>
            </w:r>
          </w:p>
          <w:p w14:paraId="1B3F4474" w14:textId="77777777" w:rsidR="007A6656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8.2.3. Decyzje krótkookresowe w oparciu o analizę relacji koszty- rozmiary produkcji-zysk, analiza wrażliwości na zmiany przychodów i kosztów, marża bezpieczeństwa, koncepcja rachunku wielostopniowego i marży segmentowej, decyzje przy istnieniu czynników ograniczających, decyzje cenowe dla zamówień specjalnych.</w:t>
            </w:r>
          </w:p>
          <w:p w14:paraId="3B6699EC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</w:tcPr>
          <w:p w14:paraId="6A2BC90D" w14:textId="77777777" w:rsidR="007A6656" w:rsidRPr="008327FE" w:rsidRDefault="007A6656" w:rsidP="007A6656"/>
        </w:tc>
        <w:tc>
          <w:tcPr>
            <w:tcW w:w="3828" w:type="dxa"/>
          </w:tcPr>
          <w:p w14:paraId="2CCCDB27" w14:textId="77777777" w:rsidR="007A6656" w:rsidRPr="008327FE" w:rsidRDefault="007A6656" w:rsidP="007A6656"/>
        </w:tc>
        <w:tc>
          <w:tcPr>
            <w:tcW w:w="3685" w:type="dxa"/>
          </w:tcPr>
          <w:p w14:paraId="4A00426E" w14:textId="77777777" w:rsidR="007A6656" w:rsidRPr="008327FE" w:rsidRDefault="007A6656" w:rsidP="007A6656"/>
        </w:tc>
      </w:tr>
      <w:tr w:rsidR="007A6656" w:rsidRPr="008327FE" w14:paraId="024BBD41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2EA814EC" w14:textId="77777777" w:rsidR="007A6656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8.2.4. Decentralizacja zarządzania, ośrodki odpowiedzialności, mierniki oceny efektywności działania ośrodków odpowiedzialności.</w:t>
            </w:r>
          </w:p>
          <w:p w14:paraId="013775F4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8.2.5. Planowanie i budżetowanie oraz ocena wykonania budżetów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7B4C3C4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8.2.6. Rachunek efektywności decyzji długookresowych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CC723E5" w14:textId="77777777" w:rsidR="007A6656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8.2.7. Nowoczesne systemy pomiaru i oceny dokonań w przedsiębiorstwie, stosowanie systemów zarządzania wykorzystujących niefinansowe mierniki osiągnięć, zrównoważona karta osiągnięć (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Balanced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Scorecard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).</w:t>
            </w:r>
          </w:p>
          <w:p w14:paraId="7EB910DB" w14:textId="77777777" w:rsidR="007A6656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8.2.8. Lean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accounting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(szczupła rachunkowość w zarzadzaniu)</w:t>
            </w:r>
          </w:p>
          <w:p w14:paraId="5E834A93" w14:textId="77777777" w:rsidR="007A6656" w:rsidRDefault="007A6656" w:rsidP="007A6656">
            <w:pPr>
              <w:ind w:left="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</w:tcPr>
          <w:p w14:paraId="6DD0C3D7" w14:textId="77777777" w:rsidR="007A6656" w:rsidRPr="008327FE" w:rsidRDefault="007A6656" w:rsidP="007A6656"/>
        </w:tc>
        <w:tc>
          <w:tcPr>
            <w:tcW w:w="3828" w:type="dxa"/>
          </w:tcPr>
          <w:p w14:paraId="7CF5F228" w14:textId="77777777" w:rsidR="007A6656" w:rsidRPr="008327FE" w:rsidRDefault="007A6656" w:rsidP="007A6656"/>
        </w:tc>
        <w:tc>
          <w:tcPr>
            <w:tcW w:w="3685" w:type="dxa"/>
          </w:tcPr>
          <w:p w14:paraId="0257EDD5" w14:textId="77777777" w:rsidR="007A6656" w:rsidRPr="008327FE" w:rsidRDefault="007A6656" w:rsidP="007A6656"/>
        </w:tc>
      </w:tr>
    </w:tbl>
    <w:p w14:paraId="4B1DE2BF" w14:textId="77777777" w:rsidR="00E23546" w:rsidRDefault="00E23546" w:rsidP="00806D9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  <w:sectPr w:rsidR="00E23546" w:rsidSect="00B74DD2">
          <w:footerReference w:type="default" r:id="rId7"/>
          <w:footnotePr>
            <w:numRestart w:val="eachPage"/>
          </w:footnotePr>
          <w:pgSz w:w="16838" w:h="11906" w:orient="landscape"/>
          <w:pgMar w:top="851" w:right="568" w:bottom="1417" w:left="993" w:header="708" w:footer="708" w:gutter="0"/>
          <w:cols w:space="708"/>
          <w:docGrid w:linePitch="360"/>
        </w:sectPr>
      </w:pPr>
    </w:p>
    <w:p w14:paraId="54909C84" w14:textId="77777777" w:rsidR="00E5717C" w:rsidRDefault="00E5717C" w:rsidP="00806D9C"/>
    <w:sectPr w:rsidR="00E57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8C958" w14:textId="77777777" w:rsidR="000B186E" w:rsidRDefault="000B186E" w:rsidP="00E23546">
      <w:pPr>
        <w:spacing w:after="0" w:line="240" w:lineRule="auto"/>
      </w:pPr>
      <w:r>
        <w:separator/>
      </w:r>
    </w:p>
  </w:endnote>
  <w:endnote w:type="continuationSeparator" w:id="0">
    <w:p w14:paraId="4EA05260" w14:textId="77777777" w:rsidR="000B186E" w:rsidRDefault="000B186E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8400426"/>
      <w:docPartObj>
        <w:docPartGallery w:val="Page Numbers (Bottom of Page)"/>
        <w:docPartUnique/>
      </w:docPartObj>
    </w:sdtPr>
    <w:sdtContent>
      <w:p w14:paraId="5E2E535A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5451">
          <w:rPr>
            <w:noProof/>
          </w:rPr>
          <w:t>2</w:t>
        </w:r>
        <w:r>
          <w:fldChar w:fldCharType="end"/>
        </w:r>
      </w:p>
    </w:sdtContent>
  </w:sdt>
  <w:p w14:paraId="32408720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FF2F7" w14:textId="77777777" w:rsidR="000B186E" w:rsidRDefault="000B186E" w:rsidP="00E23546">
      <w:pPr>
        <w:spacing w:after="0" w:line="240" w:lineRule="auto"/>
      </w:pPr>
      <w:r>
        <w:separator/>
      </w:r>
    </w:p>
  </w:footnote>
  <w:footnote w:type="continuationSeparator" w:id="0">
    <w:p w14:paraId="0EBF9B5F" w14:textId="77777777" w:rsidR="000B186E" w:rsidRDefault="000B186E" w:rsidP="00E23546">
      <w:pPr>
        <w:spacing w:after="0" w:line="240" w:lineRule="auto"/>
      </w:pPr>
      <w:r>
        <w:continuationSeparator/>
      </w:r>
    </w:p>
  </w:footnote>
  <w:footnote w:id="1">
    <w:p w14:paraId="3D95D14E" w14:textId="77777777" w:rsidR="00E23546" w:rsidRPr="00B9092E" w:rsidRDefault="00E23546" w:rsidP="00E23546">
      <w:pPr>
        <w:pStyle w:val="Tekstprzypisudolnego"/>
        <w:rPr>
          <w:sz w:val="18"/>
          <w:szCs w:val="18"/>
        </w:rPr>
      </w:pPr>
      <w:r w:rsidRPr="00B9092E">
        <w:rPr>
          <w:rStyle w:val="Odwoanieprzypisudolnego"/>
          <w:sz w:val="18"/>
          <w:szCs w:val="18"/>
        </w:rPr>
        <w:footnoteRef/>
      </w:r>
      <w:r w:rsidRPr="00B9092E">
        <w:rPr>
          <w:sz w:val="18"/>
          <w:szCs w:val="18"/>
        </w:rPr>
        <w:t xml:space="preserve"> Wpisuje się treści wynikające z sylabusa/karty, które odpowiadają zakresowi wiedzy wymaganemu przez Komisję Egzaminacyjną.</w:t>
      </w:r>
    </w:p>
    <w:p w14:paraId="378B79A6" w14:textId="77777777" w:rsidR="00E23546" w:rsidRPr="00B9092E" w:rsidRDefault="00E23546" w:rsidP="00E23546">
      <w:pPr>
        <w:pStyle w:val="Tekstprzypisudolnego"/>
        <w:rPr>
          <w:sz w:val="18"/>
          <w:szCs w:val="18"/>
        </w:rPr>
      </w:pPr>
    </w:p>
  </w:footnote>
  <w:footnote w:id="2">
    <w:p w14:paraId="7CC6A6C0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9092E">
        <w:rPr>
          <w:sz w:val="18"/>
          <w:szCs w:val="18"/>
        </w:rPr>
        <w:t>W przypadku wskazania większej (niż 3</w:t>
      </w:r>
      <w:proofErr w:type="gramStart"/>
      <w:r w:rsidRPr="00B9092E">
        <w:rPr>
          <w:sz w:val="18"/>
          <w:szCs w:val="18"/>
        </w:rPr>
        <w:t>)  liczby</w:t>
      </w:r>
      <w:proofErr w:type="gramEnd"/>
      <w:r w:rsidRPr="00B9092E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3975946">
    <w:abstractNumId w:val="4"/>
  </w:num>
  <w:num w:numId="2" w16cid:durableId="628173801">
    <w:abstractNumId w:val="2"/>
  </w:num>
  <w:num w:numId="3" w16cid:durableId="985939894">
    <w:abstractNumId w:val="0"/>
  </w:num>
  <w:num w:numId="4" w16cid:durableId="25058730">
    <w:abstractNumId w:val="3"/>
  </w:num>
  <w:num w:numId="5" w16cid:durableId="176595457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304945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46"/>
    <w:rsid w:val="000B186E"/>
    <w:rsid w:val="000E642A"/>
    <w:rsid w:val="00392FB0"/>
    <w:rsid w:val="00473D76"/>
    <w:rsid w:val="006135B6"/>
    <w:rsid w:val="006732C5"/>
    <w:rsid w:val="00710D27"/>
    <w:rsid w:val="00723577"/>
    <w:rsid w:val="007A6656"/>
    <w:rsid w:val="007A7DA1"/>
    <w:rsid w:val="00806D9C"/>
    <w:rsid w:val="00855DE2"/>
    <w:rsid w:val="00965919"/>
    <w:rsid w:val="009A5ED9"/>
    <w:rsid w:val="00B35451"/>
    <w:rsid w:val="00E23546"/>
    <w:rsid w:val="00E460BC"/>
    <w:rsid w:val="00E55CA7"/>
    <w:rsid w:val="00E5717C"/>
    <w:rsid w:val="00F26BF6"/>
    <w:rsid w:val="00F66A83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5386E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06D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6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476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Agnieszka Dąbrowska</cp:lastModifiedBy>
  <cp:revision>3</cp:revision>
  <dcterms:created xsi:type="dcterms:W3CDTF">2026-03-11T14:07:00Z</dcterms:created>
  <dcterms:modified xsi:type="dcterms:W3CDTF">2026-03-12T07:21:00Z</dcterms:modified>
</cp:coreProperties>
</file>